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9BA" w:rsidRPr="0063440B" w:rsidRDefault="0063440B" w:rsidP="006344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344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</w:t>
      </w:r>
      <w:r w:rsidR="0000085A" w:rsidRPr="006344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тоит ли переходить с бумажной трудовой книжки на электронную?</w:t>
      </w:r>
    </w:p>
    <w:p w:rsidR="0000085A" w:rsidRDefault="0000085A" w:rsidP="0000085A"/>
    <w:p w:rsidR="00F27876" w:rsidRDefault="005F48EC" w:rsidP="008D0FE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8D0FE0">
        <w:rPr>
          <w:shd w:val="clear" w:color="auto" w:fill="FFFFFF"/>
        </w:rPr>
        <w:t xml:space="preserve">С </w:t>
      </w:r>
      <w:r w:rsidR="00893362" w:rsidRPr="008D0FE0">
        <w:rPr>
          <w:shd w:val="clear" w:color="auto" w:fill="FFFFFF"/>
        </w:rPr>
        <w:t>1 января 2020 года</w:t>
      </w:r>
      <w:r w:rsidRPr="008D0FE0">
        <w:rPr>
          <w:shd w:val="clear" w:color="auto" w:fill="FFFFFF"/>
        </w:rPr>
        <w:t xml:space="preserve"> сведения о нашей трудовой деятельности работодатель обязан подавать в Социальный фонд России в цифровом виде. Все, кто впервые трудоустроился с</w:t>
      </w:r>
      <w:r w:rsidR="0063440B">
        <w:rPr>
          <w:shd w:val="clear" w:color="auto" w:fill="FFFFFF"/>
        </w:rPr>
        <w:t>о</w:t>
      </w:r>
      <w:r w:rsidR="00893362" w:rsidRPr="008D0FE0">
        <w:rPr>
          <w:shd w:val="clear" w:color="auto" w:fill="FFFFFF"/>
        </w:rPr>
        <w:t>хранятся в цифровом вид</w:t>
      </w:r>
      <w:r w:rsidR="004B7CED" w:rsidRPr="008D0FE0">
        <w:rPr>
          <w:shd w:val="clear" w:color="auto" w:fill="FFFFFF"/>
        </w:rPr>
        <w:t>е в Социальном фонде России</w:t>
      </w:r>
      <w:r w:rsidR="00893362" w:rsidRPr="008D0FE0">
        <w:rPr>
          <w:shd w:val="clear" w:color="auto" w:fill="FFFFFF"/>
        </w:rPr>
        <w:t>.</w:t>
      </w:r>
      <w:r w:rsidR="0063440B">
        <w:rPr>
          <w:shd w:val="clear" w:color="auto" w:fill="FFFFFF"/>
        </w:rPr>
        <w:t xml:space="preserve"> </w:t>
      </w:r>
      <w:r w:rsidR="00F27876">
        <w:rPr>
          <w:shd w:val="clear" w:color="auto" w:fill="FFFFFF"/>
        </w:rPr>
        <w:t xml:space="preserve">Подробнее об электронных трудовых книжках в интервью </w:t>
      </w:r>
      <w:hyperlink r:id="rId5" w:history="1">
        <w:proofErr w:type="spellStart"/>
        <w:r w:rsidR="00F27876" w:rsidRPr="00F27876">
          <w:rPr>
            <w:rStyle w:val="a4"/>
            <w:shd w:val="clear" w:color="auto" w:fill="FFFFFF"/>
          </w:rPr>
          <w:t>Газета.ру</w:t>
        </w:r>
        <w:proofErr w:type="spellEnd"/>
      </w:hyperlink>
      <w:r w:rsidR="00F27876">
        <w:rPr>
          <w:shd w:val="clear" w:color="auto" w:fill="FFFFFF"/>
        </w:rPr>
        <w:t xml:space="preserve"> рассказала эксперт проекта </w:t>
      </w:r>
      <w:r w:rsidR="00F27876" w:rsidRPr="00F27876">
        <w:rPr>
          <w:shd w:val="clear" w:color="auto" w:fill="FFFFFF"/>
        </w:rPr>
        <w:t xml:space="preserve">НИФИ Минфина </w:t>
      </w:r>
      <w:proofErr w:type="spellStart"/>
      <w:r w:rsidR="00F27876">
        <w:rPr>
          <w:shd w:val="clear" w:color="auto" w:fill="FFFFFF"/>
        </w:rPr>
        <w:t>моифинансы.рф</w:t>
      </w:r>
      <w:proofErr w:type="spellEnd"/>
      <w:r w:rsidR="00F27876">
        <w:rPr>
          <w:shd w:val="clear" w:color="auto" w:fill="FFFFFF"/>
        </w:rPr>
        <w:t xml:space="preserve"> Ольга </w:t>
      </w:r>
      <w:r w:rsidR="00F27876" w:rsidRPr="00F27876">
        <w:rPr>
          <w:shd w:val="clear" w:color="auto" w:fill="FFFFFF"/>
        </w:rPr>
        <w:t>Дайнеко</w:t>
      </w:r>
      <w:r w:rsidR="00F27876">
        <w:rPr>
          <w:shd w:val="clear" w:color="auto" w:fill="FFFFFF"/>
        </w:rPr>
        <w:t>.</w:t>
      </w:r>
      <w:r w:rsidR="00F27876" w:rsidRPr="00F27876">
        <w:rPr>
          <w:shd w:val="clear" w:color="auto" w:fill="FFFFFF"/>
        </w:rPr>
        <w:t xml:space="preserve"> </w:t>
      </w:r>
    </w:p>
    <w:p w:rsidR="006E0D96" w:rsidRPr="008D0FE0" w:rsidRDefault="004B7CED" w:rsidP="008D0FE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8D0FE0">
        <w:rPr>
          <w:shd w:val="clear" w:color="auto" w:fill="FFFFFF"/>
        </w:rPr>
        <w:t>Сейчас в</w:t>
      </w:r>
      <w:r w:rsidR="00893362" w:rsidRPr="008D0FE0">
        <w:rPr>
          <w:shd w:val="clear" w:color="auto" w:fill="FFFFFF"/>
        </w:rPr>
        <w:t>се работодатели обязаны формировать такие сведения на каждого</w:t>
      </w:r>
      <w:r w:rsidRPr="008D0FE0">
        <w:rPr>
          <w:shd w:val="clear" w:color="auto" w:fill="FFFFFF"/>
        </w:rPr>
        <w:t xml:space="preserve"> работника (ЭТК есть у каждого). Работники, впервые трудоустроившиеся в 2022 г. и позже</w:t>
      </w:r>
      <w:r w:rsidR="005F48EC" w:rsidRPr="008D0FE0">
        <w:rPr>
          <w:shd w:val="clear" w:color="auto" w:fill="FFFFFF"/>
        </w:rPr>
        <w:t xml:space="preserve"> уже не имеют трудовых книжек в бумажном варианте. Те работники, которые имеют стаж до 2020 г. вправе оставить бумажную трудовую (у них будет и ЭТК</w:t>
      </w:r>
      <w:r w:rsidRPr="008D0FE0">
        <w:rPr>
          <w:shd w:val="clear" w:color="auto" w:fill="FFFFFF"/>
        </w:rPr>
        <w:t>,</w:t>
      </w:r>
      <w:r w:rsidR="005F48EC" w:rsidRPr="008D0FE0">
        <w:rPr>
          <w:shd w:val="clear" w:color="auto" w:fill="FFFFFF"/>
        </w:rPr>
        <w:t xml:space="preserve"> и «трудовая» на бумаге). Если работник решил отказаться от бумажного варианта, трудовая книжка выдается ему на руки с отметкой о </w:t>
      </w:r>
      <w:r w:rsidRPr="008D0FE0">
        <w:rPr>
          <w:shd w:val="clear" w:color="auto" w:fill="FFFFFF"/>
        </w:rPr>
        <w:t>сделанном выборе в пользу</w:t>
      </w:r>
      <w:r w:rsidR="005F48EC" w:rsidRPr="008D0FE0">
        <w:rPr>
          <w:shd w:val="clear" w:color="auto" w:fill="FFFFFF"/>
        </w:rPr>
        <w:t xml:space="preserve"> цифрового варианта. Отказ от ведения бумажного варианта не озн</w:t>
      </w:r>
      <w:r w:rsidR="00F626C8" w:rsidRPr="008D0FE0">
        <w:rPr>
          <w:shd w:val="clear" w:color="auto" w:fill="FFFFFF"/>
        </w:rPr>
        <w:t>ачает, что сведения в ней уже не имеют значимости. Хранить бумажную «трудовую» надо бережно, поскольку она может быть единственным источником информации о трудовой деятельности до 2020 г.</w:t>
      </w:r>
      <w:r w:rsidR="006E0D96" w:rsidRPr="008D0FE0">
        <w:rPr>
          <w:shd w:val="clear" w:color="auto" w:fill="FFFFFF"/>
        </w:rPr>
        <w:t>,</w:t>
      </w:r>
      <w:r w:rsidRPr="008D0FE0">
        <w:rPr>
          <w:shd w:val="clear" w:color="auto" w:fill="FFFFFF"/>
        </w:rPr>
        <w:t xml:space="preserve"> а также дополнительной значимых</w:t>
      </w:r>
      <w:r w:rsidR="006E0D96" w:rsidRPr="008D0FE0">
        <w:rPr>
          <w:shd w:val="clear" w:color="auto" w:fill="FFFFFF"/>
        </w:rPr>
        <w:t xml:space="preserve"> </w:t>
      </w:r>
      <w:r w:rsidRPr="008D0FE0">
        <w:rPr>
          <w:shd w:val="clear" w:color="auto" w:fill="FFFFFF"/>
        </w:rPr>
        <w:t>сведений</w:t>
      </w:r>
      <w:r w:rsidR="006E0D96" w:rsidRPr="008D0FE0">
        <w:rPr>
          <w:shd w:val="clear" w:color="auto" w:fill="FFFFFF"/>
        </w:rPr>
        <w:t xml:space="preserve"> </w:t>
      </w:r>
      <w:r w:rsidR="00F626C8" w:rsidRPr="008D0FE0">
        <w:rPr>
          <w:shd w:val="clear" w:color="auto" w:fill="FFFFFF"/>
        </w:rPr>
        <w:t>о награждениях/поощрениях, о вахтовом</w:t>
      </w:r>
      <w:r w:rsidRPr="008D0FE0">
        <w:rPr>
          <w:shd w:val="clear" w:color="auto" w:fill="FFFFFF"/>
        </w:rPr>
        <w:t>/сезонном</w:t>
      </w:r>
      <w:r w:rsidR="00F626C8" w:rsidRPr="008D0FE0">
        <w:rPr>
          <w:shd w:val="clear" w:color="auto" w:fill="FFFFFF"/>
        </w:rPr>
        <w:t xml:space="preserve"> характере работы.  Особенно это актуально для «</w:t>
      </w:r>
      <w:proofErr w:type="spellStart"/>
      <w:r w:rsidR="00F626C8" w:rsidRPr="008D0FE0">
        <w:rPr>
          <w:shd w:val="clear" w:color="auto" w:fill="FFFFFF"/>
        </w:rPr>
        <w:t>досрочников</w:t>
      </w:r>
      <w:proofErr w:type="spellEnd"/>
      <w:r w:rsidR="00F626C8" w:rsidRPr="008D0FE0">
        <w:rPr>
          <w:shd w:val="clear" w:color="auto" w:fill="FFFFFF"/>
        </w:rPr>
        <w:t xml:space="preserve">» при назначении пенсии (например, для подтверждения «северного» стажа).  </w:t>
      </w:r>
    </w:p>
    <w:p w:rsidR="006E0D96" w:rsidRPr="008D0FE0" w:rsidRDefault="006E0D96" w:rsidP="008D0FE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8D0FE0">
        <w:rPr>
          <w:shd w:val="clear" w:color="auto" w:fill="FFFFFF"/>
        </w:rPr>
        <w:t xml:space="preserve">У цифрового варианта свои преимущества: </w:t>
      </w:r>
    </w:p>
    <w:p w:rsidR="005F48EC" w:rsidRPr="008D0FE0" w:rsidRDefault="006E0D96" w:rsidP="008D0FE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D0FE0">
        <w:rPr>
          <w:shd w:val="clear" w:color="auto" w:fill="FFFFFF"/>
        </w:rPr>
        <w:t>- б</w:t>
      </w:r>
      <w:r w:rsidR="00893362" w:rsidRPr="008D0FE0">
        <w:rPr>
          <w:bCs/>
        </w:rPr>
        <w:t>ыстрый доступ к информации.</w:t>
      </w:r>
      <w:r w:rsidR="00893362" w:rsidRPr="008D0FE0">
        <w:t> </w:t>
      </w:r>
      <w:r w:rsidRPr="008D0FE0">
        <w:t>Всегда можно проверить, передает ли работодатель сведения и какие. При трудоустройстве на дистанционную работу можно быстро получить (</w:t>
      </w:r>
      <w:r w:rsidR="004B7CED" w:rsidRPr="008D0FE0">
        <w:t xml:space="preserve">в электронном виде </w:t>
      </w:r>
      <w:r w:rsidRPr="008D0FE0">
        <w:t xml:space="preserve">через </w:t>
      </w:r>
      <w:proofErr w:type="spellStart"/>
      <w:r w:rsidRPr="008D0FE0">
        <w:t>Госуслуги</w:t>
      </w:r>
      <w:proofErr w:type="spellEnd"/>
      <w:r w:rsidR="004B7CED" w:rsidRPr="008D0FE0">
        <w:t>, ЛК СФР, а на бумаге</w:t>
      </w:r>
      <w:r w:rsidR="00F27876">
        <w:t>,</w:t>
      </w:r>
      <w:r w:rsidR="004B7CED" w:rsidRPr="008D0FE0">
        <w:t xml:space="preserve"> лично в СФР или МФЦ</w:t>
      </w:r>
      <w:r w:rsidRPr="008D0FE0">
        <w:t>) и</w:t>
      </w:r>
      <w:r w:rsidR="00F27876">
        <w:t>ли</w:t>
      </w:r>
      <w:r w:rsidRPr="008D0FE0">
        <w:t xml:space="preserve"> </w:t>
      </w:r>
      <w:proofErr w:type="spellStart"/>
      <w:r w:rsidRPr="008D0FE0">
        <w:t>электронно</w:t>
      </w:r>
      <w:proofErr w:type="spellEnd"/>
      <w:r w:rsidRPr="008D0FE0">
        <w:t xml:space="preserve"> отправить работодателю выписку из ЭТК для </w:t>
      </w:r>
      <w:r w:rsidR="004B7CED" w:rsidRPr="008D0FE0">
        <w:t>подтверждения</w:t>
      </w:r>
      <w:r w:rsidRPr="008D0FE0">
        <w:t xml:space="preserve"> стажа;</w:t>
      </w:r>
    </w:p>
    <w:p w:rsidR="000B4D5E" w:rsidRPr="008D0FE0" w:rsidRDefault="000B4D5E" w:rsidP="008D0FE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D0FE0">
        <w:t xml:space="preserve">- исключена возможность подлога. Форма, по которой работодатель подает сведения унифицирована: исключается человеческий фактор при подаче сведений (приписать что-то </w:t>
      </w:r>
      <w:r w:rsidR="00F27876" w:rsidRPr="008D0FE0">
        <w:t>не получится</w:t>
      </w:r>
      <w:r w:rsidRPr="008D0FE0">
        <w:t>, в том числе, о причинах/основании увольнения, трудовой деятельности);</w:t>
      </w:r>
    </w:p>
    <w:p w:rsidR="006E0D96" w:rsidRPr="008D0FE0" w:rsidRDefault="006E0D96" w:rsidP="008D0FE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D0FE0">
        <w:t>- при оформлении социальных выплат, не нужно предоставлять копию трудовой книжки (госорган получает сведения по каналам межведомственного взаимодействия);</w:t>
      </w:r>
    </w:p>
    <w:p w:rsidR="006E0D96" w:rsidRPr="008D0FE0" w:rsidRDefault="006E0D96" w:rsidP="008D0FE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D0FE0">
        <w:t>-при назначении пенсий СФР «берет</w:t>
      </w:r>
      <w:r w:rsidR="000B4D5E" w:rsidRPr="008D0FE0">
        <w:t>»</w:t>
      </w:r>
      <w:r w:rsidRPr="008D0FE0">
        <w:t xml:space="preserve"> сведения исходя из данных индивидуального лицевого счета. Допол</w:t>
      </w:r>
      <w:r w:rsidR="00367EC6" w:rsidRPr="008D0FE0">
        <w:t>нительных документов будущему пенсионеру предоставлять не требуется;</w:t>
      </w:r>
    </w:p>
    <w:p w:rsidR="00367EC6" w:rsidRPr="008D0FE0" w:rsidRDefault="00367EC6" w:rsidP="008D0FE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D0FE0">
        <w:t>-у цифрового варианта отсутствует риск физической утраты (в пожаре, из-за злого умысла, потопа и других обстоятельствах).</w:t>
      </w:r>
    </w:p>
    <w:p w:rsidR="00367EC6" w:rsidRPr="008D0FE0" w:rsidRDefault="000B4D5E" w:rsidP="008D0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F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Несмотря на встречающееся н</w:t>
      </w:r>
      <w:r w:rsidRPr="000B4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едоверие к </w:t>
      </w:r>
      <w:r w:rsidRPr="008D0F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цифровому варианту (из-за опасений, что данные пропадут из-за сбоя системы хранения цифровых данных), б</w:t>
      </w:r>
      <w:r w:rsidR="00367EC6" w:rsidRPr="008D0FE0">
        <w:rPr>
          <w:rFonts w:ascii="Times New Roman" w:hAnsi="Times New Roman" w:cs="Times New Roman"/>
          <w:sz w:val="24"/>
          <w:szCs w:val="24"/>
        </w:rPr>
        <w:t xml:space="preserve">ояться потери данных в цифровом варианте из-за технических проблем не стоит. </w:t>
      </w:r>
      <w:r w:rsidR="004B7CED" w:rsidRPr="008D0FE0">
        <w:rPr>
          <w:rFonts w:ascii="Times New Roman" w:hAnsi="Times New Roman" w:cs="Times New Roman"/>
          <w:sz w:val="24"/>
          <w:szCs w:val="24"/>
        </w:rPr>
        <w:t>Данные защищены, а система хранения данных имеет сложные алгоритмы</w:t>
      </w:r>
      <w:r w:rsidR="008D0FE0" w:rsidRPr="008D0FE0">
        <w:rPr>
          <w:rFonts w:ascii="Times New Roman" w:hAnsi="Times New Roman" w:cs="Times New Roman"/>
          <w:sz w:val="24"/>
          <w:szCs w:val="24"/>
        </w:rPr>
        <w:t xml:space="preserve">, а данные хранятся в распределенных системах </w:t>
      </w:r>
      <w:r w:rsidR="004B7CED" w:rsidRPr="008D0FE0">
        <w:rPr>
          <w:rFonts w:ascii="Times New Roman" w:hAnsi="Times New Roman" w:cs="Times New Roman"/>
          <w:sz w:val="24"/>
          <w:szCs w:val="24"/>
        </w:rPr>
        <w:t>(ничто не пропадет бесследно без возможности восстановления).</w:t>
      </w:r>
    </w:p>
    <w:p w:rsidR="008D0FE0" w:rsidRPr="008D0FE0" w:rsidRDefault="004B7CED" w:rsidP="008D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E0">
        <w:rPr>
          <w:rFonts w:ascii="Times New Roman" w:hAnsi="Times New Roman" w:cs="Times New Roman"/>
          <w:sz w:val="24"/>
          <w:szCs w:val="24"/>
        </w:rPr>
        <w:t>К основным недостаткам цифрового варианта можно отнести отсутствие</w:t>
      </w:r>
      <w:r w:rsidR="008D0FE0" w:rsidRPr="008D0FE0">
        <w:rPr>
          <w:rFonts w:ascii="Times New Roman" w:hAnsi="Times New Roman" w:cs="Times New Roman"/>
          <w:sz w:val="24"/>
          <w:szCs w:val="24"/>
        </w:rPr>
        <w:t xml:space="preserve"> в нем</w:t>
      </w:r>
      <w:r w:rsidRPr="008D0FE0">
        <w:rPr>
          <w:rFonts w:ascii="Times New Roman" w:hAnsi="Times New Roman" w:cs="Times New Roman"/>
          <w:sz w:val="24"/>
          <w:szCs w:val="24"/>
        </w:rPr>
        <w:t xml:space="preserve"> сведений о </w:t>
      </w:r>
      <w:r w:rsidR="008D0FE0" w:rsidRPr="008D0FE0">
        <w:rPr>
          <w:rFonts w:ascii="Times New Roman" w:hAnsi="Times New Roman" w:cs="Times New Roman"/>
          <w:sz w:val="24"/>
          <w:szCs w:val="24"/>
        </w:rPr>
        <w:t xml:space="preserve">награждениях и поощрениях, а также </w:t>
      </w:r>
      <w:r w:rsidR="008D0FE0" w:rsidRPr="008D0F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необходимость доступа к интернету, пользовательский навык получения информации через электронные сервисы. Однако сведения из ЭТК можно получить и на бумаге, обратившись в клиентскую службу СФР лично (или через МФЦ) без привязки к месту регистрации/проживания. </w:t>
      </w:r>
    </w:p>
    <w:p w:rsidR="00540476" w:rsidRPr="002D7C59" w:rsidRDefault="001D183B" w:rsidP="002D7C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59">
        <w:rPr>
          <w:rFonts w:ascii="Times New Roman" w:hAnsi="Times New Roman" w:cs="Times New Roman"/>
          <w:sz w:val="24"/>
          <w:szCs w:val="24"/>
        </w:rPr>
        <w:t xml:space="preserve">Электронная трудовая книжка </w:t>
      </w:r>
      <w:r w:rsidR="009217D9" w:rsidRPr="002D7C59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540476" w:rsidRPr="002D7C59">
        <w:rPr>
          <w:rFonts w:ascii="Times New Roman" w:hAnsi="Times New Roman" w:cs="Times New Roman"/>
          <w:sz w:val="24"/>
          <w:szCs w:val="24"/>
        </w:rPr>
        <w:t>нам проверить периоды</w:t>
      </w:r>
      <w:r w:rsidR="009217D9" w:rsidRPr="002D7C59">
        <w:rPr>
          <w:rFonts w:ascii="Times New Roman" w:hAnsi="Times New Roman" w:cs="Times New Roman"/>
          <w:sz w:val="24"/>
          <w:szCs w:val="24"/>
        </w:rPr>
        <w:t xml:space="preserve"> своей работы, правильность отраженных данных</w:t>
      </w:r>
      <w:r w:rsidR="00540476" w:rsidRPr="002D7C59">
        <w:rPr>
          <w:rFonts w:ascii="Times New Roman" w:hAnsi="Times New Roman" w:cs="Times New Roman"/>
          <w:sz w:val="24"/>
          <w:szCs w:val="24"/>
        </w:rPr>
        <w:t xml:space="preserve">, а выписка </w:t>
      </w:r>
      <w:r w:rsidR="0065774C" w:rsidRPr="002D7C59">
        <w:rPr>
          <w:rFonts w:ascii="Times New Roman" w:hAnsi="Times New Roman" w:cs="Times New Roman"/>
          <w:sz w:val="24"/>
          <w:szCs w:val="24"/>
        </w:rPr>
        <w:t>о состоянии</w:t>
      </w:r>
      <w:r w:rsidR="00540476" w:rsidRPr="002D7C59">
        <w:rPr>
          <w:rFonts w:ascii="Times New Roman" w:hAnsi="Times New Roman" w:cs="Times New Roman"/>
          <w:sz w:val="24"/>
          <w:szCs w:val="24"/>
        </w:rPr>
        <w:t xml:space="preserve"> индивидуального лицевого счета-увидеть суммы взносов работодателя и сформированные по каждому месту работы </w:t>
      </w:r>
      <w:r w:rsidR="002D7C59">
        <w:rPr>
          <w:rFonts w:ascii="Times New Roman" w:hAnsi="Times New Roman" w:cs="Times New Roman"/>
          <w:sz w:val="24"/>
          <w:szCs w:val="24"/>
        </w:rPr>
        <w:t xml:space="preserve">пенсионные </w:t>
      </w:r>
      <w:r w:rsidR="00540476" w:rsidRPr="002D7C59">
        <w:rPr>
          <w:rFonts w:ascii="Times New Roman" w:hAnsi="Times New Roman" w:cs="Times New Roman"/>
          <w:sz w:val="24"/>
          <w:szCs w:val="24"/>
        </w:rPr>
        <w:t xml:space="preserve">баллы. </w:t>
      </w:r>
    </w:p>
    <w:p w:rsidR="0065774C" w:rsidRPr="002D7C59" w:rsidRDefault="00540476" w:rsidP="002D7C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в ЭТК отражены не все сведения о работе (или </w:t>
      </w:r>
      <w:r w:rsid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</w:t>
      </w:r>
      <w:r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указаны неверно), нужно предварительно уточнить </w:t>
      </w:r>
      <w:r w:rsidR="0065774C"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причины таких недочетов у своего работодателя. </w:t>
      </w:r>
      <w:r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переводе на другую работу </w:t>
      </w:r>
      <w:r w:rsidR="0065774C"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отображается не сразу-сведения подаются работодателем до 25</w:t>
      </w:r>
      <w:r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числа следу</w:t>
      </w:r>
      <w:r w:rsidR="0065774C"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ющего месяца. Прием на работу или увольнение отображается быстрее, поскольку сведения об этом подаются на следующий рабочий день. </w:t>
      </w:r>
      <w:r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774C"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выяснится, что работодатель не подавал сведения, не платил социальные взносы</w:t>
      </w:r>
      <w:r w:rsidR="006C0EF7"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>, нужно направить работодателю письменное требование внести изменения в ЭТК. Если работодатель не отреагирует, потребуется обращение в суд. Игнорирование требования-не редкость среди нерадивых работодателей, поскольку для внесения изменений в ЭТК работника потребуется предоставлять отчеты, платить взносы и штрафы. При наличии подтверждающих период трудоустройства документов (бумажная трудовая книжка с записью о трудоустройстве, трудовой договор</w:t>
      </w:r>
      <w:r w:rsidR="002D7C59"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>, приказы и</w:t>
      </w:r>
      <w:r w:rsidR="0056530F"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иные документы о трудовой деятельности)</w:t>
      </w:r>
      <w:r w:rsidR="006C0EF7"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 может обратиться для внесения изменений или уточнений напрямую в СФР (лично или через </w:t>
      </w:r>
      <w:proofErr w:type="spellStart"/>
      <w:r w:rsidR="006C0EF7"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Госуслуги</w:t>
      </w:r>
      <w:proofErr w:type="spellEnd"/>
      <w:r w:rsidR="006C0EF7"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с заявлением. </w:t>
      </w:r>
    </w:p>
    <w:p w:rsidR="001D183B" w:rsidRPr="002D7C59" w:rsidRDefault="0056530F" w:rsidP="002D7C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Нужно учитывать, что в </w:t>
      </w:r>
      <w:r w:rsidR="0065774C"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стаж после 2002 года </w:t>
      </w:r>
      <w:r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включаются только те периоды, за которые работодателем</w:t>
      </w:r>
      <w:r w:rsidR="0065774C"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перечислял</w:t>
      </w:r>
      <w:r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>ись</w:t>
      </w:r>
      <w:r w:rsidR="0065774C"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страховые взносы. </w:t>
      </w:r>
      <w:r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>Не будет взносов</w:t>
      </w:r>
      <w:r w:rsidR="0065774C"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>не будет и стажа</w:t>
      </w:r>
      <w:r w:rsidR="0065774C"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Именно поэтому проверять свою «биографию» стажа нужно регулярно.</w:t>
      </w:r>
    </w:p>
    <w:p w:rsidR="002D7C59" w:rsidRDefault="002D7C59" w:rsidP="002D7C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более раннем с</w:t>
      </w:r>
      <w:bookmarkStart w:id="0" w:name="_GoBack"/>
      <w:bookmarkEnd w:id="0"/>
      <w:r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>таже (до 2001 г) пенсионный фонд получал от работодателей в период с 2002 по 2005 гг</w:t>
      </w:r>
      <w:r w:rsidR="00F27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когда проводилась кампания по сбору такой информации от работодателей, которые были эти сведения предоставить. Если </w:t>
      </w:r>
      <w:r w:rsidRPr="002D7C5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работодатель этого не сделал, нужно </w:t>
      </w:r>
      <w:r w:rsidRPr="002D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СФР с бумажной трудовой книжкой, чтобы документально подтвердить «потерянные» периоды. </w:t>
      </w:r>
    </w:p>
    <w:p w:rsidR="002D7C59" w:rsidRPr="002D7C59" w:rsidRDefault="002D7C59" w:rsidP="002D7C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обращении </w:t>
      </w:r>
      <w:r w:rsidR="0031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выяснится, что какие-либо данные отражены с ошибкой или отсутствуют из</w:t>
      </w:r>
      <w:r w:rsidR="0031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 временного системного сбоя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1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крайне редко,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тоже случается),</w:t>
      </w:r>
      <w:r w:rsidR="0031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большинстве 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предпринимать не нужно.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«встанет на свои места» спустя некоторое время (</w:t>
      </w:r>
      <w:r w:rsidR="00314A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корректировки/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данных сообщат в СФР).</w:t>
      </w:r>
    </w:p>
    <w:p w:rsidR="00314A77" w:rsidRPr="00981464" w:rsidRDefault="00314A77" w:rsidP="00981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1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="00E23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абота</w:t>
      </w:r>
      <w:r w:rsidRPr="00314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</w:t>
      </w:r>
      <w:r w:rsidRPr="00981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договорам ГПХ (гражданско-правовым </w:t>
      </w:r>
      <w:r w:rsidR="00E23BB9" w:rsidRPr="00981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договорам) учитывается</w:t>
      </w:r>
      <w:r w:rsidR="00E23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 подсчете стажа</w:t>
      </w:r>
      <w:r w:rsidRPr="00981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23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условии оплаты страховых взносов</w:t>
      </w:r>
      <w:r w:rsidR="00981464" w:rsidRPr="00981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Несмотря на то, что данные отношения не являются </w:t>
      </w:r>
      <w:r w:rsidR="00E23BB9" w:rsidRPr="00981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трудовыми, с</w:t>
      </w:r>
      <w:r w:rsidRPr="00981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выплат по таким договорам начисляются и уплачиваются страховые взносы. </w:t>
      </w:r>
      <w:r w:rsidR="00981464" w:rsidRPr="00981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Период такой работы включается в трудовой стаж, формирует баллы ИПК (для страховой пенсии по </w:t>
      </w:r>
      <w:r w:rsidR="00F27876" w:rsidRPr="00981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старости, в частности</w:t>
      </w:r>
      <w:r w:rsidR="00981464" w:rsidRPr="00981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 Поэтому пенсионные права у работника по договору ГПХ такие же, как и по трудовому договору.</w:t>
      </w:r>
    </w:p>
    <w:p w:rsidR="00981464" w:rsidRPr="00981464" w:rsidRDefault="00981464" w:rsidP="00981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1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Период работы, включаемый в страховой стаж, определяется</w:t>
      </w:r>
      <w:r w:rsidR="00E23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сроком договора. Если срок не </w:t>
      </w:r>
      <w:r w:rsidRPr="00981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указан, то в расчет берется период уплаты страховых взносов. Заказчик –работодатель несет обязанность по предоставлению отчетности о </w:t>
      </w:r>
      <w:r w:rsidR="00E23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работнике по договорам ГПХ и </w:t>
      </w:r>
      <w:r w:rsidR="00E23BB9" w:rsidRPr="00981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уплате</w:t>
      </w:r>
      <w:r w:rsidRPr="00981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23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него </w:t>
      </w:r>
      <w:r w:rsidRPr="00981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страховых взносов</w:t>
      </w:r>
      <w:r w:rsidR="00E23B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СФР</w:t>
      </w:r>
      <w:r w:rsidRPr="00981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14A77" w:rsidRDefault="00314A77" w:rsidP="001D183B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56530F" w:rsidRDefault="0056530F" w:rsidP="001D183B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56530F" w:rsidRDefault="0056530F" w:rsidP="001D183B"/>
    <w:p w:rsidR="004B7CED" w:rsidRPr="004B7CED" w:rsidRDefault="004B7CED" w:rsidP="004B7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EC6" w:rsidRDefault="00367EC6" w:rsidP="006E0D96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121"/>
        </w:rPr>
      </w:pPr>
    </w:p>
    <w:p w:rsidR="0000085A" w:rsidRDefault="0000085A" w:rsidP="0000085A"/>
    <w:sectPr w:rsidR="0000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6428"/>
    <w:multiLevelType w:val="multilevel"/>
    <w:tmpl w:val="3EE6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1513F"/>
    <w:multiLevelType w:val="hybridMultilevel"/>
    <w:tmpl w:val="748C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5A"/>
    <w:rsid w:val="0000085A"/>
    <w:rsid w:val="000B4D5E"/>
    <w:rsid w:val="001D183B"/>
    <w:rsid w:val="002D7C59"/>
    <w:rsid w:val="00314A77"/>
    <w:rsid w:val="00367EC6"/>
    <w:rsid w:val="004B7CED"/>
    <w:rsid w:val="00540476"/>
    <w:rsid w:val="0056530F"/>
    <w:rsid w:val="005F48EC"/>
    <w:rsid w:val="0063440B"/>
    <w:rsid w:val="0065774C"/>
    <w:rsid w:val="00672FAF"/>
    <w:rsid w:val="006C0EF7"/>
    <w:rsid w:val="006E0D96"/>
    <w:rsid w:val="007529BA"/>
    <w:rsid w:val="00893362"/>
    <w:rsid w:val="008D0FE0"/>
    <w:rsid w:val="009217D9"/>
    <w:rsid w:val="00981464"/>
    <w:rsid w:val="00A23DC7"/>
    <w:rsid w:val="00E23BB9"/>
    <w:rsid w:val="00F27876"/>
    <w:rsid w:val="00F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89D3"/>
  <w15:chartTrackingRefBased/>
  <w15:docId w15:val="{7046954A-72AB-43D4-A52A-371DA483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3362"/>
    <w:rPr>
      <w:color w:val="0000FF"/>
      <w:u w:val="single"/>
    </w:rPr>
  </w:style>
  <w:style w:type="character" w:customStyle="1" w:styleId="nobr--rbrrd">
    <w:name w:val="nobr--rbrrd"/>
    <w:basedOn w:val="a0"/>
    <w:rsid w:val="00893362"/>
  </w:style>
  <w:style w:type="paragraph" w:customStyle="1" w:styleId="paragraph--sb3m9">
    <w:name w:val="paragraph--sb3m9"/>
    <w:basedOn w:val="a"/>
    <w:rsid w:val="0089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F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A23DC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344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60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350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zeta.ru/business/news/2024/01/23/22173685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883</Words>
  <Characters>5406</Characters>
  <Application>Microsoft Office Word</Application>
  <DocSecurity>0</DocSecurity>
  <Lines>128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Microsoft Office User</cp:lastModifiedBy>
  <cp:revision>4</cp:revision>
  <dcterms:created xsi:type="dcterms:W3CDTF">2024-01-22T07:58:00Z</dcterms:created>
  <dcterms:modified xsi:type="dcterms:W3CDTF">2024-03-27T07:58:00Z</dcterms:modified>
</cp:coreProperties>
</file>